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28DDE1" w14:textId="77777777" w:rsidR="007B5FA7" w:rsidRPr="009B0B7F" w:rsidRDefault="007B5FA7" w:rsidP="007B5FA7">
      <w:pPr>
        <w:keepNext/>
        <w:spacing w:after="120"/>
        <w:rPr>
          <w:rFonts w:ascii="Segoe UI" w:hAnsi="Segoe UI" w:cs="Segoe UI"/>
        </w:rPr>
      </w:pPr>
      <w:r>
        <w:rPr>
          <w:rFonts w:ascii="Segoe UI" w:hAnsi="Segoe UI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2AF7FE4" wp14:editId="42E82FA7">
                <wp:simplePos x="0" y="0"/>
                <wp:positionH relativeFrom="margin">
                  <wp:posOffset>273912</wp:posOffset>
                </wp:positionH>
                <wp:positionV relativeFrom="paragraph">
                  <wp:posOffset>14605</wp:posOffset>
                </wp:positionV>
                <wp:extent cx="5217160" cy="1323833"/>
                <wp:effectExtent l="0" t="0" r="254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17160" cy="132383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595186C" w14:textId="28EDAD92" w:rsidR="007B5FA7" w:rsidRPr="00525592" w:rsidRDefault="008C7DC1" w:rsidP="006752A9">
                            <w:pPr>
                              <w:pStyle w:val="Zkladntext"/>
                              <w:jc w:val="center"/>
                              <w:rPr>
                                <w:rFonts w:ascii="Segoe UI" w:hAnsi="Segoe UI" w:cs="Segoe UI"/>
                              </w:rPr>
                            </w:pPr>
                            <w:r>
                              <w:rPr>
                                <w:rFonts w:ascii="Segoe UI" w:hAnsi="Segoe UI"/>
                                <w:b/>
                                <w:bCs/>
                                <w:sz w:val="36"/>
                                <w:szCs w:val="36"/>
                              </w:rPr>
                              <w:t>Part 0.e FORMULA FOR ECONOMIC MODEL CALCULATION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2AF7FE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1.55pt;margin-top:1.15pt;width:410.8pt;height:104.2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" stroked="f">
                <v:textbox>
                  <w:txbxContent>
                    <w:p w14:paraId="7595186C" w14:textId="28EDAD92" w:rsidR="007B5FA7" w:rsidRPr="00525592" w:rsidRDefault="008C7DC1" w:rsidP="006752A9">
                      <w:pPr>
                        <w:pStyle w:val="Zkladntext"/>
                        <w:jc w:val="center"/>
                        <w:rPr>
                          <w:rFonts w:ascii="Segoe UI" w:hAnsi="Segoe UI" w:cs="Segoe UI"/>
                        </w:rPr>
                      </w:pPr>
                      <w:r>
                        <w:rPr>
                          <w:b/>
                          <w:bCs/>
                          <w:sz w:val="36"/>
                          <w:szCs w:val="36"/>
                          <w:rFonts w:ascii="Segoe UI" w:hAnsi="Segoe UI"/>
                        </w:rPr>
                        <w:t xml:space="preserve">Part 0.e FORMULA FOR ECONOMIC MODEL CALCULATION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CD4E0FC" w14:textId="77777777" w:rsidR="007B5FA7" w:rsidRPr="009B0B7F" w:rsidRDefault="007B5FA7" w:rsidP="007B5FA7">
      <w:pPr>
        <w:keepNext/>
        <w:spacing w:after="120"/>
        <w:rPr>
          <w:rFonts w:ascii="Segoe UI" w:hAnsi="Segoe UI" w:cs="Segoe UI"/>
        </w:rPr>
      </w:pPr>
    </w:p>
    <w:p w14:paraId="2DC7F66B" w14:textId="77777777" w:rsidR="007B5FA7" w:rsidRPr="009B0B7F" w:rsidRDefault="007B5FA7" w:rsidP="007B5FA7">
      <w:pPr>
        <w:keepNext/>
        <w:spacing w:after="120"/>
        <w:jc w:val="center"/>
        <w:rPr>
          <w:rFonts w:ascii="Segoe UI" w:hAnsi="Segoe UI" w:cs="Segoe UI"/>
        </w:rPr>
      </w:pPr>
    </w:p>
    <w:p w14:paraId="6B453CA9" w14:textId="77777777" w:rsidR="007B5FA7" w:rsidRPr="009B0B7F" w:rsidRDefault="007B5FA7" w:rsidP="007B5FA7">
      <w:pPr>
        <w:keepNext/>
        <w:spacing w:after="120"/>
        <w:rPr>
          <w:rFonts w:ascii="Segoe UI" w:hAnsi="Segoe UI" w:cs="Segoe UI"/>
        </w:rPr>
      </w:pPr>
    </w:p>
    <w:p w14:paraId="5A351EC5" w14:textId="0115DFA4" w:rsidR="007B5FA7" w:rsidRPr="009B0B7F" w:rsidRDefault="007B5FA7" w:rsidP="007B5FA7">
      <w:pPr>
        <w:keepNext/>
        <w:spacing w:after="120"/>
        <w:jc w:val="center"/>
        <w:rPr>
          <w:rFonts w:ascii="Segoe UI" w:hAnsi="Segoe UI" w:cs="Segoe UI"/>
        </w:rPr>
      </w:pPr>
      <w:r>
        <w:rPr>
          <w:rFonts w:ascii="Segoe UI" w:hAnsi="Segoe UI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53527B7" wp14:editId="03313EEA">
                <wp:simplePos x="0" y="0"/>
                <wp:positionH relativeFrom="margin">
                  <wp:posOffset>-120650</wp:posOffset>
                </wp:positionH>
                <wp:positionV relativeFrom="margin">
                  <wp:posOffset>1472471</wp:posOffset>
                </wp:positionV>
                <wp:extent cx="5810250" cy="1746885"/>
                <wp:effectExtent l="0" t="1905" r="1270" b="3810"/>
                <wp:wrapSquare wrapText="bothSides"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10250" cy="17468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381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3AAE5C5" w14:textId="7EC01631" w:rsidR="007B5FA7" w:rsidRPr="00525592" w:rsidRDefault="007B5FA7" w:rsidP="007B5FA7">
                            <w:pPr>
                              <w:jc w:val="center"/>
                              <w:rPr>
                                <w:rFonts w:ascii="Segoe UI" w:hAnsi="Segoe UI" w:cs="Segoe UI"/>
                                <w:b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Segoe UI" w:hAnsi="Segoe UI"/>
                                <w:b/>
                                <w:sz w:val="48"/>
                                <w:szCs w:val="48"/>
                              </w:rPr>
                              <w:t>PUBLIC CONTRACT</w:t>
                            </w:r>
                          </w:p>
                          <w:p w14:paraId="1E3D6B18" w14:textId="395B3ECE" w:rsidR="007B5FA7" w:rsidRPr="007B5FA7" w:rsidRDefault="007B5FA7" w:rsidP="007B5FA7">
                            <w:pPr>
                              <w:spacing w:before="240"/>
                              <w:jc w:val="center"/>
                              <w:rPr>
                                <w:rFonts w:ascii="Segoe UI" w:hAnsi="Segoe UI" w:cs="Segoe UI"/>
                                <w:b/>
                                <w:bCs/>
                                <w:i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Segoe UI" w:hAnsi="Segoe UI"/>
                                <w:b/>
                                <w:bCs/>
                                <w:iCs/>
                                <w:sz w:val="28"/>
                                <w:szCs w:val="28"/>
                              </w:rPr>
                              <w:t>"</w:t>
                            </w:r>
                            <w:r>
                              <w:rPr>
                                <w:rFonts w:ascii="Segoe UI" w:hAnsi="Segoe UI"/>
                                <w:b/>
                                <w:bCs/>
                                <w:sz w:val="28"/>
                                <w:szCs w:val="28"/>
                              </w:rPr>
                              <w:t>Modernization of WtE SAKO Brno</w:t>
                            </w:r>
                            <w:r>
                              <w:rPr>
                                <w:rFonts w:ascii="Segoe UI" w:hAnsi="Segoe UI"/>
                                <w:b/>
                                <w:bCs/>
                                <w:iCs/>
                                <w:sz w:val="28"/>
                                <w:szCs w:val="28"/>
                              </w:rPr>
                              <w:t>”</w:t>
                            </w:r>
                          </w:p>
                          <w:p w14:paraId="671ED800" w14:textId="77777777" w:rsidR="009942AF" w:rsidRPr="006F1DEF" w:rsidRDefault="009942AF" w:rsidP="009942AF">
                            <w:pPr>
                              <w:spacing w:before="240"/>
                              <w:jc w:val="center"/>
                              <w:rPr>
                                <w:rFonts w:ascii="Segoe UI" w:hAnsi="Segoe UI" w:cs="Segoe UI"/>
                                <w:sz w:val="24"/>
                                <w:szCs w:val="24"/>
                              </w:rPr>
                            </w:pPr>
                            <w:r w:rsidRPr="006F1DEF">
                              <w:rPr>
                                <w:rFonts w:ascii="Segoe UI" w:hAnsi="Segoe UI"/>
                                <w:sz w:val="24"/>
                                <w:szCs w:val="24"/>
                              </w:rPr>
                              <w:t>over-the-limit utilities contract for construction works awarded in a negotiated procedure with prior publication pursuant to the provisions of Section 60 of the PPA,</w:t>
                            </w:r>
                          </w:p>
                          <w:p w14:paraId="4865B8FB" w14:textId="77777777" w:rsidR="007B5FA7" w:rsidRDefault="007B5FA7" w:rsidP="007B5FA7">
                            <w:pPr>
                              <w:jc w:val="center"/>
                              <w:rPr>
                                <w:rFonts w:ascii="Palatino Linotype" w:hAnsi="Palatino Linotype"/>
                                <w:sz w:val="24"/>
                                <w:szCs w:val="24"/>
                              </w:rPr>
                            </w:pPr>
                          </w:p>
                          <w:p w14:paraId="017648A8" w14:textId="77777777" w:rsidR="007B5FA7" w:rsidRDefault="007B5FA7" w:rsidP="007B5FA7">
                            <w:pPr>
                              <w:spacing w:before="240"/>
                              <w:jc w:val="center"/>
                              <w:rPr>
                                <w:rFonts w:ascii="Palatino Linotype" w:hAnsi="Palatino Linotype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53527B7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7" type="#_x0000_t202" style="position:absolute;left:0;text-align:left;margin-left:-9.5pt;margin-top:115.95pt;width:457.5pt;height:137.5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" stroked="f" strokeweight="3pt">
                <v:textbox>
                  <w:txbxContent>
                    <w:p w14:paraId="13AAE5C5" w14:textId="7EC01631" w:rsidR="007B5FA7" w:rsidRPr="00525592" w:rsidRDefault="007B5FA7" w:rsidP="007B5FA7">
                      <w:pPr>
                        <w:jc w:val="center"/>
                        <w:rPr>
                          <w:rFonts w:ascii="Segoe UI" w:hAnsi="Segoe UI" w:cs="Segoe UI"/>
                          <w:b/>
                          <w:sz w:val="48"/>
                          <w:szCs w:val="48"/>
                        </w:rPr>
                      </w:pPr>
                      <w:r>
                        <w:rPr>
                          <w:rFonts w:ascii="Segoe UI" w:hAnsi="Segoe UI"/>
                          <w:b/>
                          <w:sz w:val="48"/>
                          <w:szCs w:val="48"/>
                        </w:rPr>
                        <w:t>PUBLIC CONTRACT</w:t>
                      </w:r>
                    </w:p>
                    <w:p w14:paraId="1E3D6B18" w14:textId="395B3ECE" w:rsidR="007B5FA7" w:rsidRPr="007B5FA7" w:rsidRDefault="007B5FA7" w:rsidP="007B5FA7">
                      <w:pPr>
                        <w:spacing w:before="240"/>
                        <w:jc w:val="center"/>
                        <w:rPr>
                          <w:rFonts w:ascii="Segoe UI" w:hAnsi="Segoe UI" w:cs="Segoe UI"/>
                          <w:b/>
                          <w:bCs/>
                          <w:iCs/>
                          <w:sz w:val="28"/>
                          <w:szCs w:val="28"/>
                        </w:rPr>
                      </w:pPr>
                      <w:r>
                        <w:rPr>
                          <w:rFonts w:ascii="Segoe UI" w:hAnsi="Segoe UI"/>
                          <w:b/>
                          <w:bCs/>
                          <w:iCs/>
                          <w:sz w:val="28"/>
                          <w:szCs w:val="28"/>
                        </w:rPr>
                        <w:t>"</w:t>
                      </w:r>
                      <w:r>
                        <w:rPr>
                          <w:rFonts w:ascii="Segoe UI" w:hAnsi="Segoe UI"/>
                          <w:b/>
                          <w:bCs/>
                          <w:sz w:val="28"/>
                          <w:szCs w:val="28"/>
                        </w:rPr>
                        <w:t>Modernization of WtE SAKO Brno</w:t>
                      </w:r>
                      <w:r>
                        <w:rPr>
                          <w:rFonts w:ascii="Segoe UI" w:hAnsi="Segoe UI"/>
                          <w:b/>
                          <w:bCs/>
                          <w:iCs/>
                          <w:sz w:val="28"/>
                          <w:szCs w:val="28"/>
                        </w:rPr>
                        <w:t>”</w:t>
                      </w:r>
                    </w:p>
                    <w:p w14:paraId="671ED800" w14:textId="77777777" w:rsidR="009942AF" w:rsidRPr="006F1DEF" w:rsidRDefault="009942AF" w:rsidP="009942AF">
                      <w:pPr>
                        <w:spacing w:before="240"/>
                        <w:jc w:val="center"/>
                        <w:rPr>
                          <w:rFonts w:ascii="Segoe UI" w:hAnsi="Segoe UI" w:cs="Segoe UI"/>
                          <w:sz w:val="24"/>
                          <w:szCs w:val="24"/>
                        </w:rPr>
                      </w:pPr>
                      <w:r w:rsidRPr="006F1DEF">
                        <w:rPr>
                          <w:rFonts w:ascii="Segoe UI" w:hAnsi="Segoe UI"/>
                          <w:sz w:val="24"/>
                          <w:szCs w:val="24"/>
                        </w:rPr>
                        <w:t>over-the-limit utilities contract for construction works awarded in a negotiated procedure with prior publication pursuant to the provisions of Section 60 of the PPA,</w:t>
                      </w:r>
                    </w:p>
                    <w:p w14:paraId="4865B8FB" w14:textId="77777777" w:rsidR="007B5FA7" w:rsidRDefault="007B5FA7" w:rsidP="007B5FA7">
                      <w:pPr>
                        <w:jc w:val="center"/>
                        <w:rPr>
                          <w:rFonts w:ascii="Palatino Linotype" w:hAnsi="Palatino Linotype"/>
                          <w:sz w:val="24"/>
                          <w:szCs w:val="24"/>
                        </w:rPr>
                      </w:pPr>
                    </w:p>
                    <w:p w14:paraId="017648A8" w14:textId="77777777" w:rsidR="007B5FA7" w:rsidRDefault="007B5FA7" w:rsidP="007B5FA7">
                      <w:pPr>
                        <w:spacing w:before="240"/>
                        <w:jc w:val="center"/>
                        <w:rPr>
                          <w:rFonts w:ascii="Palatino Linotype" w:hAnsi="Palatino Linotype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p w14:paraId="42EA63AD" w14:textId="58FCA658" w:rsidR="007B5FA7" w:rsidRPr="009B0B7F" w:rsidRDefault="007B5FA7" w:rsidP="007B5FA7">
      <w:pPr>
        <w:keepNext/>
        <w:spacing w:after="120"/>
        <w:jc w:val="center"/>
        <w:rPr>
          <w:rFonts w:ascii="Segoe UI" w:hAnsi="Segoe UI" w:cs="Segoe UI"/>
        </w:rPr>
      </w:pPr>
    </w:p>
    <w:p w14:paraId="7420688C" w14:textId="6C341D21" w:rsidR="007B5FA7" w:rsidRPr="009B0B7F" w:rsidRDefault="003517D5" w:rsidP="007B5FA7">
      <w:pPr>
        <w:keepNext/>
        <w:spacing w:after="120"/>
        <w:jc w:val="center"/>
        <w:rPr>
          <w:rFonts w:ascii="Segoe UI" w:hAnsi="Segoe UI" w:cs="Segoe UI"/>
        </w:rPr>
      </w:pPr>
      <w:r>
        <w:rPr>
          <w:noProof/>
        </w:rPr>
        <w:drawing>
          <wp:anchor distT="0" distB="0" distL="114300" distR="114300" simplePos="0" relativeHeight="251662336" behindDoc="0" locked="0" layoutInCell="1" allowOverlap="0" wp14:anchorId="264E7D37" wp14:editId="662540BF">
            <wp:simplePos x="0" y="0"/>
            <wp:positionH relativeFrom="page">
              <wp:posOffset>898497</wp:posOffset>
            </wp:positionH>
            <wp:positionV relativeFrom="page">
              <wp:posOffset>4397071</wp:posOffset>
            </wp:positionV>
            <wp:extent cx="5662800" cy="3628800"/>
            <wp:effectExtent l="0" t="0" r="0" b="0"/>
            <wp:wrapSquare wrapText="bothSides"/>
            <wp:docPr id="1618706905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8706905" name="Obrázek 1618706905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62800" cy="3628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A57B1AE" w14:textId="73F9271F" w:rsidR="007B5FA7" w:rsidRPr="009B0B7F" w:rsidRDefault="007B5FA7" w:rsidP="007B5FA7">
      <w:pPr>
        <w:keepNext/>
        <w:spacing w:line="312" w:lineRule="auto"/>
        <w:jc w:val="center"/>
        <w:rPr>
          <w:rFonts w:ascii="Segoe UI" w:hAnsi="Segoe UI" w:cs="Segoe UI"/>
        </w:rPr>
      </w:pPr>
    </w:p>
    <w:p w14:paraId="38E26DAD" w14:textId="3F3137C6" w:rsidR="007B5FA7" w:rsidRPr="009B0B7F" w:rsidRDefault="007B5FA7" w:rsidP="007B5FA7">
      <w:pPr>
        <w:rPr>
          <w:rFonts w:ascii="Segoe UI" w:hAnsi="Segoe UI" w:cs="Segoe UI"/>
          <w:b/>
        </w:rPr>
      </w:pPr>
      <w:r>
        <w:rPr>
          <w:rFonts w:ascii="Segoe UI" w:hAnsi="Segoe UI"/>
          <w:b/>
        </w:rPr>
        <w:t>SAKO Brno, a.s.</w:t>
      </w:r>
    </w:p>
    <w:p w14:paraId="619645C3" w14:textId="77777777" w:rsidR="007B5FA7" w:rsidRPr="009B0B7F" w:rsidRDefault="007B5FA7" w:rsidP="007B5FA7">
      <w:pPr>
        <w:pStyle w:val="Obsah1"/>
        <w:rPr>
          <w:caps/>
        </w:rPr>
      </w:pPr>
      <w:r>
        <w:t>registered address:</w:t>
      </w:r>
      <w:r>
        <w:rPr>
          <w:caps/>
        </w:rPr>
        <w:t xml:space="preserve"> </w:t>
      </w:r>
      <w:r>
        <w:t>Jedovnická 4247/2, 628 00 Brno</w:t>
      </w:r>
    </w:p>
    <w:p w14:paraId="5CFF215B" w14:textId="77777777" w:rsidR="007B5FA7" w:rsidRPr="009B0B7F" w:rsidRDefault="007B5FA7" w:rsidP="007B5FA7">
      <w:pPr>
        <w:rPr>
          <w:rFonts w:ascii="Segoe UI" w:hAnsi="Segoe UI" w:cs="Segoe UI"/>
        </w:rPr>
      </w:pPr>
      <w:r>
        <w:rPr>
          <w:rFonts w:ascii="Segoe UI" w:hAnsi="Segoe UI"/>
        </w:rPr>
        <w:t>ID No: 60713470</w:t>
      </w:r>
    </w:p>
    <w:p w14:paraId="227D7671" w14:textId="77777777" w:rsidR="007B5FA7" w:rsidRDefault="007B5FA7" w:rsidP="002D1FEC">
      <w:pPr>
        <w:jc w:val="center"/>
        <w:rPr>
          <w:rFonts w:ascii="Segoe UI" w:hAnsi="Segoe UI" w:cs="Segoe UI"/>
          <w:b/>
          <w:sz w:val="48"/>
          <w:szCs w:val="48"/>
          <w:lang w:val="cs-CZ"/>
        </w:rPr>
      </w:pPr>
    </w:p>
    <w:p w14:paraId="01C7A470" w14:textId="2283F89D" w:rsidR="00217806" w:rsidRDefault="007B5FA7" w:rsidP="00127CAA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Part 0.e - Formula for economic model calculation </w:t>
      </w:r>
    </w:p>
    <w:p w14:paraId="62FBFCC1" w14:textId="457C6D3B" w:rsidR="00127CAA" w:rsidRPr="00CA462D" w:rsidRDefault="00127CAA" w:rsidP="00127CAA">
      <w:pPr>
        <w:jc w:val="center"/>
        <w:rPr>
          <w:rFonts w:ascii="Segoe UI" w:hAnsi="Segoe UI" w:cs="Segoe UI"/>
          <w:lang w:val="cs-CZ"/>
        </w:rPr>
      </w:pPr>
    </w:p>
    <w:p w14:paraId="323E47D3" w14:textId="601BBCCD" w:rsidR="004B17E4" w:rsidRDefault="000377C1" w:rsidP="000377C1">
      <w:pPr>
        <w:jc w:val="both"/>
        <w:rPr>
          <w:rFonts w:ascii="Segoe UI" w:hAnsi="Segoe UI" w:cs="Segoe UI"/>
        </w:rPr>
      </w:pPr>
      <w:r>
        <w:rPr>
          <w:rFonts w:ascii="Segoe UI" w:hAnsi="Segoe UI"/>
        </w:rPr>
        <w:t>This calculation formula is intended to evaluate the overall financial advantageousness of tenders using the NPV indicator (</w:t>
      </w:r>
      <w:r>
        <w:rPr>
          <w:rFonts w:ascii="Segoe UI" w:hAnsi="Segoe UI"/>
          <w:shd w:val="clear" w:color="auto" w:fill="FFFFFF"/>
        </w:rPr>
        <w:t>the total net present value of all cash flows related to the project</w:t>
      </w:r>
      <w:r>
        <w:rPr>
          <w:rFonts w:ascii="Segoe UI" w:hAnsi="Segoe UI"/>
        </w:rPr>
        <w:t xml:space="preserve">) in relation to the Economic model (part 0.d to the Procurement documentation). </w:t>
      </w:r>
    </w:p>
    <w:p w14:paraId="7AF7C3FA" w14:textId="77777777" w:rsidR="004B17E4" w:rsidRDefault="004B17E4" w:rsidP="000377C1">
      <w:pPr>
        <w:jc w:val="both"/>
        <w:rPr>
          <w:rFonts w:ascii="Segoe UI" w:hAnsi="Segoe UI" w:cs="Segoe UI"/>
          <w:lang w:val="cs-CZ"/>
        </w:rPr>
      </w:pPr>
    </w:p>
    <w:p w14:paraId="51774121" w14:textId="31686DBC" w:rsidR="000377C1" w:rsidRPr="00A83190" w:rsidRDefault="004B17E4">
      <w:pPr>
        <w:jc w:val="both"/>
        <w:rPr>
          <w:rFonts w:ascii="Segoe UI" w:hAnsi="Segoe UI"/>
        </w:rPr>
      </w:pPr>
      <w:r>
        <w:rPr>
          <w:rFonts w:ascii="Segoe UI" w:hAnsi="Segoe UI"/>
        </w:rPr>
        <w:t xml:space="preserve">The model evaluates overall advantageousness of the offered solution over a period of 25 years from the start of commercial operation according to the Contract terms and conditions in the form of net present value. </w:t>
      </w:r>
      <w:r w:rsidRPr="00A83190">
        <w:rPr>
          <w:rFonts w:ascii="Segoe UI" w:hAnsi="Segoe UI"/>
        </w:rPr>
        <w:t xml:space="preserve">Assumptions used in the evaluation take into account the annual availability of 8,000 hours </w:t>
      </w:r>
      <w:bookmarkStart w:id="0" w:name="_Hlk161761429"/>
      <w:r w:rsidRPr="00A83190">
        <w:rPr>
          <w:rFonts w:ascii="Segoe UI" w:hAnsi="Segoe UI"/>
        </w:rPr>
        <w:t>and nominal operation, i.e., 132,000 tons of processed waste with a</w:t>
      </w:r>
      <w:r w:rsidR="00AA5A58">
        <w:rPr>
          <w:rFonts w:ascii="Segoe UI" w:hAnsi="Segoe UI"/>
        </w:rPr>
        <w:t> </w:t>
      </w:r>
      <w:r w:rsidRPr="00A83190">
        <w:rPr>
          <w:rFonts w:ascii="Segoe UI" w:hAnsi="Segoe UI"/>
        </w:rPr>
        <w:t>calorific value of 10 MJ/kg.</w:t>
      </w:r>
      <w:r>
        <w:rPr>
          <w:rFonts w:ascii="Segoe UI" w:hAnsi="Segoe UI"/>
        </w:rPr>
        <w:t xml:space="preserve"> </w:t>
      </w:r>
      <w:bookmarkEnd w:id="0"/>
      <w:r w:rsidRPr="00A83190">
        <w:rPr>
          <w:rFonts w:ascii="Segoe UI" w:hAnsi="Segoe UI"/>
        </w:rPr>
        <w:t>The economic assumptions are based on the contracting authority's unit prices and a discount rate of 3% with a year-on-year inflation rate.</w:t>
      </w:r>
    </w:p>
    <w:p w14:paraId="68014257" w14:textId="77777777" w:rsidR="007868D4" w:rsidRDefault="007868D4">
      <w:pPr>
        <w:jc w:val="both"/>
        <w:rPr>
          <w:rFonts w:ascii="Segoe UI" w:hAnsi="Segoe UI" w:cs="Segoe UI"/>
          <w:lang w:val="cs-CZ"/>
        </w:rPr>
      </w:pPr>
    </w:p>
    <w:p w14:paraId="655B6A9E" w14:textId="149D1A9C" w:rsidR="007868D4" w:rsidRDefault="00F16437" w:rsidP="007868D4">
      <w:pPr>
        <w:jc w:val="both"/>
        <w:rPr>
          <w:rFonts w:ascii="Segoe UI" w:hAnsi="Segoe UI" w:cs="Segoe UI"/>
        </w:rPr>
      </w:pPr>
      <w:r>
        <w:rPr>
          <w:rFonts w:ascii="Segoe UI" w:hAnsi="Segoe UI"/>
        </w:rPr>
        <w:t>This general formula will calculate the net present value as the sum of points 1) to 3) listed below once data filled in by the participant in accordance</w:t>
      </w:r>
      <w:r w:rsidR="00A83190">
        <w:rPr>
          <w:rFonts w:ascii="Segoe UI" w:hAnsi="Segoe UI"/>
        </w:rPr>
        <w:t xml:space="preserve"> with</w:t>
      </w:r>
      <w:r>
        <w:rPr>
          <w:rFonts w:ascii="Segoe UI" w:hAnsi="Segoe UI"/>
        </w:rPr>
        <w:t xml:space="preserve"> part 0.d Binding form of the economic model: </w:t>
      </w:r>
    </w:p>
    <w:p w14:paraId="12C6C22E" w14:textId="62C0AECF" w:rsidR="00F0700F" w:rsidRDefault="007868D4" w:rsidP="007868D4">
      <w:pPr>
        <w:ind w:firstLine="720"/>
        <w:jc w:val="both"/>
        <w:rPr>
          <w:rFonts w:ascii="Segoe UI" w:eastAsiaTheme="minorEastAsia" w:hAnsi="Segoe UI" w:cs="Segoe UI"/>
        </w:rPr>
      </w:pPr>
      <w:r>
        <w:rPr>
          <w:rFonts w:ascii="Segoe UI" w:hAnsi="Segoe UI"/>
        </w:rPr>
        <w:t xml:space="preserve">1) Negative value of the total tender Contract </w:t>
      </w:r>
      <w:r w:rsidR="00AA5A58">
        <w:rPr>
          <w:rFonts w:ascii="Segoe UI" w:hAnsi="Segoe UI"/>
        </w:rPr>
        <w:t>Amount taking</w:t>
      </w:r>
      <w:r>
        <w:rPr>
          <w:rFonts w:ascii="Segoe UI" w:hAnsi="Segoe UI"/>
        </w:rPr>
        <w:t xml:space="preserve"> into account the selectable options for negotiation in the sense of Section 3.1 (b) and Section 3.9. of the procurement documentation</w:t>
      </w:r>
      <w:r w:rsidR="00534820">
        <w:rPr>
          <w:rStyle w:val="Znakapoznpodarou"/>
          <w:rFonts w:ascii="Segoe UI" w:hAnsi="Segoe UI" w:cs="Segoe UI"/>
          <w:lang w:val="cs-CZ"/>
        </w:rPr>
        <w:footnoteReference w:id="1"/>
      </w:r>
      <w:r>
        <w:rPr>
          <w:rFonts w:ascii="Segoe UI" w:hAnsi="Segoe UI"/>
        </w:rPr>
        <w:t xml:space="preserve"> (item 1.1.8 according to part 0.d of the Binding economic model) including the required options according to Appendix part III, </w:t>
      </w:r>
      <w:proofErr w:type="spellStart"/>
      <w:r>
        <w:rPr>
          <w:rFonts w:ascii="Segoe UI" w:hAnsi="Segoe UI"/>
        </w:rPr>
        <w:t>A.21</w:t>
      </w:r>
      <w:proofErr w:type="spellEnd"/>
      <w:r w:rsidR="00AA5A58">
        <w:rPr>
          <w:rFonts w:ascii="Segoe UI" w:hAnsi="Segoe UI"/>
        </w:rPr>
        <w:t>, the value of</w:t>
      </w:r>
      <w:r>
        <w:rPr>
          <w:rFonts w:ascii="Segoe UI" w:hAnsi="Segoe UI"/>
        </w:rPr>
        <w:t xml:space="preserve"> </w:t>
      </w:r>
      <w:r w:rsidR="00AA5A58">
        <w:rPr>
          <w:rFonts w:ascii="Segoe UI" w:hAnsi="Segoe UI"/>
        </w:rPr>
        <w:t>discount for</w:t>
      </w:r>
      <w:r>
        <w:rPr>
          <w:rFonts w:ascii="Segoe UI" w:hAnsi="Segoe UI"/>
        </w:rPr>
        <w:t xml:space="preserve"> EU financing and any possible additional benefit given by shorter construction period than the maximum expected period;</w:t>
      </w:r>
    </w:p>
    <w:p w14:paraId="77A2A6BA" w14:textId="69BD6D8D" w:rsidR="00F16437" w:rsidRDefault="00F0700F" w:rsidP="0052612E">
      <w:pPr>
        <w:ind w:firstLine="709"/>
        <w:jc w:val="both"/>
        <w:rPr>
          <w:rFonts w:ascii="Segoe UI" w:hAnsi="Segoe UI" w:cs="Segoe UI"/>
        </w:rPr>
      </w:pPr>
      <w:r>
        <w:rPr>
          <w:rFonts w:ascii="Segoe UI" w:hAnsi="Segoe UI"/>
        </w:rPr>
        <w:t>ad</w:t>
      </w:r>
      <w:r>
        <w:rPr>
          <w:rFonts w:ascii="Segoe UI" w:hAnsi="Segoe UI"/>
          <w:i/>
          <w:iCs/>
        </w:rPr>
        <w:t xml:space="preserve"> 1)</w:t>
      </w:r>
      <w:r>
        <w:rPr>
          <w:rFonts w:ascii="Segoe UI" w:hAnsi="Segoe UI"/>
        </w:rPr>
        <w:t xml:space="preserve"> </w:t>
      </w:r>
      <w:r>
        <w:rPr>
          <w:rFonts w:ascii="Segoe UI" w:hAnsi="Segoe UI"/>
          <w:i/>
          <w:iCs/>
        </w:rPr>
        <w:t>[-CAPEX];</w:t>
      </w:r>
      <w:r>
        <w:rPr>
          <w:rFonts w:ascii="Segoe UI" w:hAnsi="Segoe UI"/>
        </w:rPr>
        <w:t xml:space="preserve"> and </w:t>
      </w:r>
    </w:p>
    <w:p w14:paraId="79E4DD8D" w14:textId="0C857688" w:rsidR="00DE20A6" w:rsidRDefault="007868D4" w:rsidP="00F16437">
      <w:pPr>
        <w:ind w:firstLine="720"/>
        <w:jc w:val="both"/>
        <w:rPr>
          <w:rFonts w:ascii="Segoe UI" w:hAnsi="Segoe UI" w:cs="Segoe UI"/>
        </w:rPr>
      </w:pPr>
      <w:r>
        <w:rPr>
          <w:rFonts w:ascii="Segoe UI" w:hAnsi="Segoe UI"/>
        </w:rPr>
        <w:t xml:space="preserve">Summary of the set of cash flows of the future operation: the difference between [sums of heat, </w:t>
      </w:r>
      <w:r w:rsidR="00AA5A58">
        <w:rPr>
          <w:rFonts w:ascii="Segoe UI" w:hAnsi="Segoe UI"/>
        </w:rPr>
        <w:t>electricity, and</w:t>
      </w:r>
      <w:r>
        <w:rPr>
          <w:rFonts w:ascii="Segoe UI" w:hAnsi="Segoe UI"/>
        </w:rPr>
        <w:t xml:space="preserve"> processed waste commodities multiplied by [electricity, heat sales prices and gate-fee] and the sum of OPEX multiplied by [unit prices of OPEX and externalities] converted to the present value of cash using a discount rate, all this over a period </w:t>
      </w:r>
      <w:r w:rsidR="00AA5A58">
        <w:rPr>
          <w:rFonts w:ascii="Segoe UI" w:hAnsi="Segoe UI"/>
        </w:rPr>
        <w:t>of 25</w:t>
      </w:r>
      <w:r>
        <w:rPr>
          <w:rFonts w:ascii="Segoe UI" w:hAnsi="Segoe UI"/>
        </w:rPr>
        <w:t xml:space="preserve"> years (the considered evaluation period);</w:t>
      </w:r>
    </w:p>
    <w:p w14:paraId="04C340FB" w14:textId="44855E0E" w:rsidR="005B00B6" w:rsidRDefault="00DE20A6" w:rsidP="00E5730A">
      <w:pPr>
        <w:ind w:firstLine="720"/>
        <w:rPr>
          <w:rFonts w:ascii="Segoe UI" w:eastAsiaTheme="minorEastAsia" w:hAnsi="Segoe UI" w:cs="Segoe UI"/>
          <w:sz w:val="24"/>
          <w:szCs w:val="24"/>
        </w:rPr>
      </w:pPr>
      <w:r>
        <w:t>ad</w:t>
      </w:r>
      <w:r>
        <w:rPr>
          <w:rFonts w:ascii="Segoe UI" w:hAnsi="Segoe UI"/>
          <w:i/>
          <w:iCs/>
        </w:rPr>
        <w:t xml:space="preserve"> 2)</w:t>
      </w:r>
      <w:r>
        <w:rPr>
          <w:rFonts w:ascii="Segoe UI" w:hAnsi="Segoe UI"/>
        </w:rPr>
        <w:t xml:space="preserve"> in total </w:t>
      </w:r>
      <m:oMath>
        <m:nary>
          <m:naryPr>
            <m:chr m:val="∑"/>
            <m:limLoc m:val="undOvr"/>
            <m:ctrlPr>
              <w:rPr>
                <w:rFonts w:ascii="Cambria Math" w:hAnsi="Cambria Math"/>
                <w:i/>
                <w:iCs/>
                <w:sz w:val="24"/>
                <w:szCs w:val="24"/>
                <w:lang w:val="cs-CZ"/>
              </w:rPr>
            </m:ctrlPr>
          </m:naryPr>
          <m:sub>
            <m:r>
              <w:rPr>
                <w:rFonts w:ascii="Cambria Math" w:hAnsi="Cambria Math"/>
                <w:sz w:val="24"/>
                <w:szCs w:val="24"/>
                <w:lang w:val="cs-CZ"/>
              </w:rPr>
              <m:t>i=0</m:t>
            </m:r>
          </m:sub>
          <m:sup>
            <m:r>
              <w:rPr>
                <w:rFonts w:ascii="Cambria Math" w:hAnsi="Cambria Math"/>
                <w:sz w:val="24"/>
                <w:szCs w:val="24"/>
                <w:lang w:val="cs-CZ"/>
              </w:rPr>
              <m:t>n</m:t>
            </m:r>
          </m:sup>
          <m:e>
            <m:f>
              <m:fPr>
                <m:ctrlPr>
                  <w:rPr>
                    <w:rFonts w:ascii="Cambria Math" w:hAnsi="Cambria Math"/>
                    <w:i/>
                    <w:iCs/>
                    <w:sz w:val="24"/>
                    <w:szCs w:val="24"/>
                    <w:lang w:val="cs-CZ"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Cambria Math"/>
                        <w:i/>
                        <w:iCs/>
                        <w:sz w:val="24"/>
                        <w:szCs w:val="24"/>
                        <w:lang w:val="cs-CZ"/>
                      </w:rPr>
                    </m:ctrlPr>
                  </m:sSubPr>
                  <m:e>
                    <m:d>
                      <m:dPr>
                        <m:begChr m:val="["/>
                        <m:endChr m:val="]"/>
                        <m:ctrlPr>
                          <w:rPr>
                            <w:rFonts w:ascii="Cambria Math" w:hAnsi="Cambria Math"/>
                            <w:i/>
                            <w:iCs/>
                            <w:sz w:val="24"/>
                            <w:szCs w:val="24"/>
                            <w:lang w:val="cs-CZ"/>
                          </w:rPr>
                        </m:ctrlPr>
                      </m:dPr>
                      <m:e>
                        <m:eqArr>
                          <m:eqArrPr>
                            <m:ctrlPr>
                              <w:rPr>
                                <w:rFonts w:ascii="Cambria Math" w:hAnsi="Cambria Math"/>
                                <w:i/>
                                <w:iCs/>
                                <w:sz w:val="24"/>
                                <w:szCs w:val="24"/>
                                <w:lang w:val="cs-CZ"/>
                              </w:rPr>
                            </m:ctrlPr>
                          </m:eqArrPr>
                          <m:e>
                            <m:nary>
                              <m:naryPr>
                                <m:chr m:val="∑"/>
                                <m:limLoc m:val="undOvr"/>
                                <m:subHide m:val="1"/>
                                <m:supHide m:val="1"/>
                                <m:ctrlPr>
                                  <w:rPr>
                                    <w:rFonts w:ascii="Cambria Math" w:hAnsi="Cambria Math"/>
                                    <w:i/>
                                    <w:iCs/>
                                    <w:sz w:val="24"/>
                                    <w:szCs w:val="24"/>
                                    <w:lang w:val="cs-CZ"/>
                                  </w:rPr>
                                </m:ctrlPr>
                              </m:naryPr>
                              <m:sub/>
                              <m:sup/>
                              <m:e>
                                <m:d>
                                  <m:d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iCs/>
                                        <w:sz w:val="24"/>
                                        <w:szCs w:val="24"/>
                                        <w:lang w:val="cs-CZ"/>
                                      </w:rPr>
                                    </m:ctrlPr>
                                  </m:dPr>
                                  <m:e>
                                    <m:r>
                                      <w:rPr>
                                        <w:rFonts w:ascii="Cambria Math" w:hAnsi="Cambria Math"/>
                                        <w:sz w:val="24"/>
                                        <w:szCs w:val="24"/>
                                        <w:lang w:val="cs-CZ"/>
                                      </w:rPr>
                                      <m:t>Energy outputs</m:t>
                                    </m:r>
                                  </m:e>
                                </m:d>
                                <m:r>
                                  <w:rPr>
                                    <w:rFonts w:ascii="Cambria Math" w:hAnsi="Cambria Math"/>
                                    <w:sz w:val="24"/>
                                    <w:szCs w:val="24"/>
                                    <w:lang w:val="cs-CZ"/>
                                  </w:rPr>
                                  <m:t>*</m:t>
                                </m:r>
                                <m:d>
                                  <m:d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iCs/>
                                        <w:sz w:val="24"/>
                                        <w:szCs w:val="24"/>
                                        <w:lang w:val="cs-CZ"/>
                                      </w:rPr>
                                    </m:ctrlPr>
                                  </m:dPr>
                                  <m:e>
                                    <m:r>
                                      <w:rPr>
                                        <w:rFonts w:ascii="Cambria Math" w:hAnsi="Cambria Math"/>
                                        <w:sz w:val="24"/>
                                        <w:szCs w:val="24"/>
                                        <w:lang w:val="cs-CZ"/>
                                      </w:rPr>
                                      <m:t>Energy outputs prices</m:t>
                                    </m:r>
                                  </m:e>
                                </m:d>
                              </m:e>
                            </m:nary>
                            <m:r>
                              <w:rPr>
                                <w:rFonts w:ascii="Cambria Math" w:hAnsi="Cambria Math"/>
                                <w:sz w:val="24"/>
                                <w:szCs w:val="24"/>
                                <w:lang w:val="cs-CZ"/>
                              </w:rPr>
                              <m:t>-</m:t>
                            </m:r>
                            <m:ctrlPr>
                              <w:rPr>
                                <w:rFonts w:ascii="Cambria Math" w:hAnsi="Cambria Math"/>
                                <w:i/>
                                <w:sz w:val="24"/>
                                <w:szCs w:val="24"/>
                                <w:lang w:val="cs-CZ"/>
                              </w:rPr>
                            </m:ctrlPr>
                          </m:e>
                          <m:e>
                            <m:nary>
                              <m:naryPr>
                                <m:chr m:val="∑"/>
                                <m:limLoc m:val="undOvr"/>
                                <m:subHide m:val="1"/>
                                <m:supHide m:val="1"/>
                                <m:ctrlPr>
                                  <w:rPr>
                                    <w:rFonts w:ascii="Cambria Math" w:hAnsi="Cambria Math"/>
                                    <w:i/>
                                    <w:iCs/>
                                    <w:sz w:val="24"/>
                                    <w:szCs w:val="24"/>
                                    <w:lang w:val="cs-CZ"/>
                                  </w:rPr>
                                </m:ctrlPr>
                              </m:naryPr>
                              <m:sub/>
                              <m:sup/>
                              <m:e>
                                <m:d>
                                  <m:d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iCs/>
                                        <w:sz w:val="24"/>
                                        <w:szCs w:val="24"/>
                                        <w:lang w:val="cs-CZ"/>
                                      </w:rPr>
                                    </m:ctrlPr>
                                  </m:dPr>
                                  <m:e>
                                    <m:r>
                                      <w:rPr>
                                        <w:rFonts w:ascii="Cambria Math" w:hAnsi="Cambria Math"/>
                                        <w:sz w:val="24"/>
                                        <w:szCs w:val="24"/>
                                        <w:lang w:val="cs-CZ"/>
                                      </w:rPr>
                                      <m:t>OPEX</m:t>
                                    </m:r>
                                  </m:e>
                                </m:d>
                                <m:r>
                                  <w:rPr>
                                    <w:rFonts w:ascii="Cambria Math" w:hAnsi="Cambria Math"/>
                                    <w:sz w:val="24"/>
                                    <w:szCs w:val="24"/>
                                    <w:lang w:val="cs-CZ"/>
                                  </w:rPr>
                                  <m:t>*</m:t>
                                </m:r>
                                <m:d>
                                  <m:d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iCs/>
                                        <w:sz w:val="24"/>
                                        <w:szCs w:val="24"/>
                                        <w:lang w:val="cs-CZ"/>
                                      </w:rPr>
                                    </m:ctrlPr>
                                  </m:dPr>
                                  <m:e>
                                    <m:r>
                                      <w:rPr>
                                        <w:rFonts w:ascii="Cambria Math" w:hAnsi="Cambria Math"/>
                                        <w:sz w:val="24"/>
                                        <w:szCs w:val="24"/>
                                        <w:lang w:val="cs-CZ"/>
                                      </w:rPr>
                                      <m:t>OPEX unit prices)+(Externality)*(Extenality unit prices)</m:t>
                                    </m:r>
                                  </m:e>
                                </m:d>
                              </m:e>
                            </m:nary>
                          </m:e>
                        </m:eqArr>
                      </m:e>
                    </m:d>
                  </m:e>
                  <m:sub>
                    <m:r>
                      <w:rPr>
                        <w:rFonts w:ascii="Cambria Math" w:hAnsi="Cambria Math"/>
                        <w:sz w:val="24"/>
                        <w:szCs w:val="24"/>
                        <w:lang w:val="cs-CZ"/>
                      </w:rPr>
                      <m:t>i</m:t>
                    </m:r>
                  </m:sub>
                </m:sSub>
              </m:num>
              <m:den>
                <m:d>
                  <m:dPr>
                    <m:begChr m:val="["/>
                    <m:endChr m:val="]"/>
                    <m:ctrlPr>
                      <w:rPr>
                        <w:rFonts w:ascii="Cambria Math" w:hAnsi="Cambria Math"/>
                        <w:i/>
                        <w:iCs/>
                        <w:sz w:val="24"/>
                        <w:szCs w:val="24"/>
                        <w:lang w:val="cs-CZ"/>
                      </w:rPr>
                    </m:ctrlPr>
                  </m:dPr>
                  <m:e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iCs/>
                            <w:sz w:val="24"/>
                            <w:szCs w:val="24"/>
                            <w:lang w:val="cs-CZ"/>
                          </w:rPr>
                        </m:ctrlPr>
                      </m:sSupPr>
                      <m:e>
                        <m:d>
                          <m:dPr>
                            <m:ctrlPr>
                              <w:rPr>
                                <w:rFonts w:ascii="Cambria Math" w:hAnsi="Cambria Math"/>
                                <w:i/>
                                <w:iCs/>
                                <w:sz w:val="24"/>
                                <w:szCs w:val="24"/>
                                <w:lang w:val="cs-CZ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/>
                                <w:sz w:val="24"/>
                                <w:szCs w:val="24"/>
                                <w:lang w:val="cs-CZ"/>
                              </w:rPr>
                              <m:t>1+WACC</m:t>
                            </m:r>
                          </m:e>
                        </m:d>
                      </m:e>
                      <m:sup>
                        <m:r>
                          <w:rPr>
                            <w:rFonts w:ascii="Cambria Math" w:hAnsi="Cambria Math"/>
                            <w:sz w:val="24"/>
                            <w:szCs w:val="24"/>
                            <w:lang w:val="cs-CZ"/>
                          </w:rPr>
                          <m:t>i</m:t>
                        </m:r>
                      </m:sup>
                    </m:sSup>
                  </m:e>
                </m:d>
              </m:den>
            </m:f>
          </m:e>
        </m:nary>
      </m:oMath>
      <w:r>
        <w:rPr>
          <w:rFonts w:ascii="Segoe UI" w:hAnsi="Segoe UI"/>
          <w:sz w:val="24"/>
          <w:szCs w:val="24"/>
        </w:rPr>
        <w:t xml:space="preserve">; </w:t>
      </w:r>
    </w:p>
    <w:p w14:paraId="3510D1D1" w14:textId="77777777" w:rsidR="00DE20A6" w:rsidRDefault="00DE20A6" w:rsidP="00F16437">
      <w:pPr>
        <w:ind w:firstLine="720"/>
        <w:jc w:val="both"/>
        <w:rPr>
          <w:rFonts w:ascii="Segoe UI" w:eastAsiaTheme="minorEastAsia" w:hAnsi="Segoe UI" w:cs="Segoe UI"/>
          <w:sz w:val="24"/>
          <w:szCs w:val="24"/>
          <w:lang w:val="cs-CZ"/>
        </w:rPr>
      </w:pPr>
    </w:p>
    <w:p w14:paraId="18FF152D" w14:textId="6B6C3231" w:rsidR="000377C1" w:rsidRPr="0052612E" w:rsidRDefault="00F0700F" w:rsidP="0052612E">
      <w:pPr>
        <w:jc w:val="both"/>
        <w:rPr>
          <w:rFonts w:ascii="Segoe UI" w:hAnsi="Segoe UI" w:cs="Segoe UI"/>
        </w:rPr>
      </w:pPr>
      <w:r>
        <w:rPr>
          <w:rFonts w:ascii="Segoe UI" w:hAnsi="Segoe UI"/>
        </w:rPr>
        <w:lastRenderedPageBreak/>
        <w:t>The overall calculation formula of the Economic model is as follows:</w:t>
      </w:r>
    </w:p>
    <w:p w14:paraId="74B378D3" w14:textId="77777777" w:rsidR="000377C1" w:rsidRDefault="000377C1" w:rsidP="00127CAA">
      <w:pPr>
        <w:jc w:val="center"/>
        <w:rPr>
          <w:b/>
          <w:bCs/>
          <w:sz w:val="32"/>
          <w:szCs w:val="32"/>
          <w:lang w:val="cs-CZ"/>
        </w:rPr>
      </w:pPr>
    </w:p>
    <w:p w14:paraId="781C6E6D" w14:textId="0A2371A3" w:rsidR="00127CAA" w:rsidRPr="00275C42" w:rsidRDefault="00127CAA" w:rsidP="00127CAA">
      <w:pPr>
        <w:rPr>
          <w:rFonts w:eastAsiaTheme="minorEastAsia"/>
          <w:sz w:val="24"/>
          <w:szCs w:val="24"/>
        </w:rPr>
      </w:pPr>
      <m:oMathPara>
        <m:oMath>
          <m:r>
            <w:rPr>
              <w:rFonts w:ascii="Cambria Math" w:hAnsi="Cambria Math"/>
              <w:sz w:val="24"/>
              <w:szCs w:val="24"/>
              <w:lang w:val="cs-CZ"/>
            </w:rPr>
            <m:t>NPV=-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  <w:sz w:val="24"/>
                  <w:szCs w:val="24"/>
                  <w:lang w:val="cs-CZ"/>
                </w:rPr>
              </m:ctrlPr>
            </m:dPr>
            <m:e>
              <m:r>
                <w:rPr>
                  <w:rFonts w:ascii="Cambria Math" w:hAnsi="Cambria Math"/>
                  <w:sz w:val="24"/>
                  <w:szCs w:val="24"/>
                  <w:lang w:val="cs-CZ"/>
                </w:rPr>
                <m:t>CAPEX</m:t>
              </m:r>
            </m:e>
          </m:d>
          <m:r>
            <w:rPr>
              <w:rFonts w:ascii="Cambria Math" w:hAnsi="Cambria Math"/>
              <w:sz w:val="24"/>
              <w:szCs w:val="24"/>
              <w:lang w:val="cs-CZ"/>
            </w:rPr>
            <m:t>+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  <w:sz w:val="24"/>
                  <w:szCs w:val="24"/>
                  <w:lang w:val="cs-CZ"/>
                </w:rPr>
              </m:ctrlPr>
            </m:naryPr>
            <m:sub>
              <m:r>
                <w:rPr>
                  <w:rFonts w:ascii="Cambria Math" w:hAnsi="Cambria Math"/>
                  <w:sz w:val="24"/>
                  <w:szCs w:val="24"/>
                  <w:lang w:val="cs-CZ"/>
                </w:rPr>
                <m:t>i=0</m:t>
              </m:r>
            </m:sub>
            <m:sup>
              <m:r>
                <w:rPr>
                  <w:rFonts w:ascii="Cambria Math" w:hAnsi="Cambria Math"/>
                  <w:sz w:val="24"/>
                  <w:szCs w:val="24"/>
                  <w:lang w:val="cs-CZ"/>
                </w:rPr>
                <m:t>n</m:t>
              </m:r>
            </m:sup>
            <m:e>
              <m:f>
                <m:fPr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val="cs-CZ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  <w:lang w:val="cs-CZ"/>
                        </w:rPr>
                      </m:ctrlPr>
                    </m:sSubPr>
                    <m:e>
                      <m:d>
                        <m:dPr>
                          <m:begChr m:val="["/>
                          <m:endChr m:val="]"/>
                          <m:ctrlPr>
                            <w:rPr>
                              <w:rFonts w:ascii="Cambria Math" w:hAnsi="Cambria Math"/>
                              <w:i/>
                              <w:sz w:val="24"/>
                              <w:szCs w:val="24"/>
                              <w:lang w:val="cs-CZ"/>
                            </w:rPr>
                          </m:ctrlPr>
                        </m:dPr>
                        <m:e>
                          <m:eqArr>
                            <m:eqArrPr>
                              <m:ctrlPr>
                                <w:rPr>
                                  <w:rFonts w:ascii="Cambria Math" w:hAnsi="Cambria Math"/>
                                  <w:i/>
                                  <w:sz w:val="24"/>
                                  <w:szCs w:val="24"/>
                                  <w:lang w:val="cs-CZ"/>
                                </w:rPr>
                              </m:ctrlPr>
                            </m:eqArrPr>
                            <m:e>
                              <m:nary>
                                <m:naryPr>
                                  <m:chr m:val="∑"/>
                                  <m:limLoc m:val="undOvr"/>
                                  <m:subHide m:val="1"/>
                                  <m:supHide m:val="1"/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4"/>
                                      <w:szCs w:val="24"/>
                                      <w:lang w:val="cs-CZ"/>
                                    </w:rPr>
                                  </m:ctrlPr>
                                </m:naryPr>
                                <m:sub/>
                                <m:sup/>
                                <m:e>
                                  <m:d>
                                    <m:d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sz w:val="24"/>
                                          <w:szCs w:val="24"/>
                                          <w:lang w:val="cs-CZ"/>
                                        </w:rPr>
                                      </m:ctrlPr>
                                    </m:dPr>
                                    <m:e>
                                      <m:r>
                                        <w:rPr>
                                          <w:rFonts w:ascii="Cambria Math" w:hAnsi="Cambria Math"/>
                                          <w:sz w:val="24"/>
                                          <w:szCs w:val="24"/>
                                          <w:lang w:val="cs-CZ"/>
                                        </w:rPr>
                                        <m:t>Revenues</m:t>
                                      </m:r>
                                    </m:e>
                                  </m:d>
                                  <m:r>
                                    <w:rPr>
                                      <w:rFonts w:ascii="Cambria Math" w:hAnsi="Cambria Math"/>
                                      <w:sz w:val="24"/>
                                      <w:szCs w:val="24"/>
                                      <w:lang w:val="cs-CZ"/>
                                    </w:rPr>
                                    <m:t>*</m:t>
                                  </m:r>
                                  <m:d>
                                    <m:d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sz w:val="24"/>
                                          <w:szCs w:val="24"/>
                                          <w:lang w:val="cs-CZ"/>
                                        </w:rPr>
                                      </m:ctrlPr>
                                    </m:dPr>
                                    <m:e>
                                      <m:r>
                                        <w:rPr>
                                          <w:rFonts w:ascii="Cambria Math" w:hAnsi="Cambria Math"/>
                                          <w:sz w:val="24"/>
                                          <w:szCs w:val="24"/>
                                          <w:lang w:val="cs-CZ"/>
                                        </w:rPr>
                                        <m:t>Revenues prices</m:t>
                                      </m:r>
                                    </m:e>
                                  </m:d>
                                </m:e>
                              </m:nary>
                              <m:r>
                                <w:rPr>
                                  <w:rFonts w:ascii="Cambria Math" w:hAnsi="Cambria Math"/>
                                  <w:sz w:val="24"/>
                                  <w:szCs w:val="24"/>
                                  <w:lang w:val="cs-CZ"/>
                                </w:rPr>
                                <m:t>-</m:t>
                              </m:r>
                            </m:e>
                            <m:e>
                              <m:nary>
                                <m:naryPr>
                                  <m:chr m:val="∑"/>
                                  <m:limLoc m:val="undOvr"/>
                                  <m:subHide m:val="1"/>
                                  <m:supHide m:val="1"/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4"/>
                                      <w:szCs w:val="24"/>
                                      <w:lang w:val="cs-CZ"/>
                                    </w:rPr>
                                  </m:ctrlPr>
                                </m:naryPr>
                                <m:sub/>
                                <m:sup/>
                                <m:e>
                                  <m:d>
                                    <m:d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sz w:val="24"/>
                                          <w:szCs w:val="24"/>
                                          <w:lang w:val="cs-CZ"/>
                                        </w:rPr>
                                      </m:ctrlPr>
                                    </m:dPr>
                                    <m:e>
                                      <m:r>
                                        <w:rPr>
                                          <w:rFonts w:ascii="Cambria Math" w:hAnsi="Cambria Math"/>
                                          <w:sz w:val="24"/>
                                          <w:szCs w:val="24"/>
                                          <w:lang w:val="cs-CZ"/>
                                        </w:rPr>
                                        <m:t>OPEX</m:t>
                                      </m:r>
                                    </m:e>
                                  </m:d>
                                  <m:r>
                                    <w:rPr>
                                      <w:rFonts w:ascii="Cambria Math" w:hAnsi="Cambria Math"/>
                                      <w:sz w:val="24"/>
                                      <w:szCs w:val="24"/>
                                      <w:lang w:val="cs-CZ"/>
                                    </w:rPr>
                                    <m:t>*</m:t>
                                  </m:r>
                                  <m:d>
                                    <m:d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sz w:val="24"/>
                                          <w:szCs w:val="24"/>
                                          <w:lang w:val="cs-CZ"/>
                                        </w:rPr>
                                      </m:ctrlPr>
                                    </m:dPr>
                                    <m:e>
                                      <m:r>
                                        <w:rPr>
                                          <w:rFonts w:ascii="Cambria Math" w:hAnsi="Cambria Math"/>
                                          <w:sz w:val="24"/>
                                          <w:szCs w:val="24"/>
                                          <w:lang w:val="cs-CZ"/>
                                        </w:rPr>
                                        <m:t>OPEX unit prices</m:t>
                                      </m:r>
                                    </m:e>
                                  </m:d>
                                  <m:r>
                                    <w:rPr>
                                      <w:rFonts w:ascii="Cambria Math" w:hAnsi="Cambria Math"/>
                                      <w:sz w:val="24"/>
                                      <w:szCs w:val="24"/>
                                      <w:lang w:val="cs-CZ"/>
                                    </w:rPr>
                                    <m:t>+(Externality)*(Extenality unit prices</m:t>
                                  </m:r>
                                </m:e>
                              </m:nary>
                            </m:e>
                          </m:eqArr>
                        </m:e>
                      </m:d>
                    </m:e>
                    <m:sub>
                      <m:r>
                        <w:rPr>
                          <w:rFonts w:ascii="Cambria Math" w:hAnsi="Cambria Math"/>
                          <w:sz w:val="24"/>
                          <w:szCs w:val="24"/>
                          <w:lang w:val="cs-CZ"/>
                        </w:rPr>
                        <m:t>i</m:t>
                      </m:r>
                    </m:sub>
                  </m:sSub>
                </m:num>
                <m:den>
                  <m:d>
                    <m:dPr>
                      <m:begChr m:val="["/>
                      <m:endChr m:val="]"/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  <w:lang w:val="cs-CZ"/>
                        </w:rPr>
                      </m:ctrlPr>
                    </m:dPr>
                    <m:e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sz w:val="24"/>
                              <w:szCs w:val="24"/>
                              <w:lang w:val="cs-CZ"/>
                            </w:rPr>
                          </m:ctrlPr>
                        </m:sSupPr>
                        <m:e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i/>
                                  <w:sz w:val="24"/>
                                  <w:szCs w:val="24"/>
                                  <w:lang w:val="cs-CZ"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hAnsi="Cambria Math"/>
                                  <w:sz w:val="24"/>
                                  <w:szCs w:val="24"/>
                                  <w:lang w:val="cs-CZ"/>
                                </w:rPr>
                                <m:t>1+WACC</m:t>
                              </m:r>
                            </m:e>
                          </m:d>
                        </m:e>
                        <m:sup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  <w:lang w:val="cs-CZ"/>
                            </w:rPr>
                            <m:t>i</m:t>
                          </m:r>
                        </m:sup>
                      </m:sSup>
                    </m:e>
                  </m:d>
                </m:den>
              </m:f>
            </m:e>
          </m:nary>
        </m:oMath>
      </m:oMathPara>
    </w:p>
    <w:p w14:paraId="75C5352B" w14:textId="77777777" w:rsidR="00275C42" w:rsidRDefault="00275C42" w:rsidP="00127CAA">
      <w:pPr>
        <w:rPr>
          <w:rFonts w:eastAsiaTheme="minorEastAsia"/>
          <w:sz w:val="24"/>
          <w:szCs w:val="24"/>
          <w:lang w:val="cs-CZ"/>
        </w:rPr>
      </w:pPr>
    </w:p>
    <w:p w14:paraId="5AEB9737" w14:textId="77777777" w:rsidR="004B17E4" w:rsidRDefault="004B17E4" w:rsidP="00127CAA">
      <w:pPr>
        <w:rPr>
          <w:rFonts w:ascii="Segoe UI" w:eastAsiaTheme="minorEastAsia" w:hAnsi="Segoe UI" w:cs="Segoe UI"/>
          <w:lang w:val="cs-CZ"/>
        </w:rPr>
      </w:pPr>
    </w:p>
    <w:p w14:paraId="6E985ECB" w14:textId="08AC7405" w:rsidR="00275C42" w:rsidRPr="00F0700F" w:rsidRDefault="00275C42" w:rsidP="00127CAA">
      <w:pPr>
        <w:rPr>
          <w:rFonts w:ascii="Segoe UI" w:eastAsiaTheme="minorEastAsia" w:hAnsi="Segoe UI" w:cs="Segoe UI"/>
        </w:rPr>
      </w:pPr>
      <w:r>
        <w:rPr>
          <w:rFonts w:ascii="Segoe UI" w:hAnsi="Segoe UI"/>
        </w:rPr>
        <w:t>"NPV" - net present value (evaluated parameter)</w:t>
      </w:r>
    </w:p>
    <w:p w14:paraId="66798B21" w14:textId="0CD8FEE7" w:rsidR="00275C42" w:rsidRPr="00B6605D" w:rsidRDefault="00275C42" w:rsidP="00127CAA">
      <w:pPr>
        <w:rPr>
          <w:rFonts w:ascii="Segoe UI" w:eastAsiaTheme="minorEastAsia" w:hAnsi="Segoe UI" w:cs="Segoe UI"/>
        </w:rPr>
      </w:pPr>
      <w:r>
        <w:t xml:space="preserve">"CAPEX" - the total tender Contract Amount (including </w:t>
      </w:r>
      <w:r w:rsidR="00AA5A58">
        <w:t>options for</w:t>
      </w:r>
      <w:r>
        <w:t xml:space="preserve"> negotiations</w:t>
      </w:r>
      <w:r>
        <w:rPr>
          <w:rStyle w:val="Znakapoznpodarou"/>
        </w:rPr>
        <w:footnoteRef/>
      </w:r>
      <w:r>
        <w:t xml:space="preserve">  and options required by the contracting authority according to Appendix part </w:t>
      </w:r>
      <w:proofErr w:type="gramStart"/>
      <w:r>
        <w:t xml:space="preserve">III  </w:t>
      </w:r>
      <w:proofErr w:type="spellStart"/>
      <w:r>
        <w:t>A.21</w:t>
      </w:r>
      <w:proofErr w:type="spellEnd"/>
      <w:proofErr w:type="gramEnd"/>
      <w:r>
        <w:t xml:space="preserve"> including any additional benefit given a shorter construction period than the maximum expected period and  the value of discount for EU financing </w:t>
      </w:r>
    </w:p>
    <w:p w14:paraId="5FDB54B7" w14:textId="6BBE38C9" w:rsidR="00275C42" w:rsidRPr="00F0700F" w:rsidRDefault="00275C42" w:rsidP="00127CAA">
      <w:pPr>
        <w:rPr>
          <w:rFonts w:ascii="Segoe UI" w:eastAsiaTheme="minorEastAsia" w:hAnsi="Segoe UI" w:cs="Segoe UI"/>
        </w:rPr>
      </w:pPr>
      <w:r>
        <w:rPr>
          <w:rFonts w:ascii="Segoe UI" w:hAnsi="Segoe UI"/>
        </w:rPr>
        <w:t xml:space="preserve">"Revenues" – the volume of heat and electricity produced and the volume of processed waste </w:t>
      </w:r>
    </w:p>
    <w:p w14:paraId="7C4DE79D" w14:textId="2F78FDFA" w:rsidR="00275C42" w:rsidRPr="00F0700F" w:rsidRDefault="00275C42" w:rsidP="00127CAA">
      <w:pPr>
        <w:rPr>
          <w:rFonts w:ascii="Segoe UI" w:eastAsiaTheme="minorEastAsia" w:hAnsi="Segoe UI" w:cs="Segoe UI"/>
        </w:rPr>
      </w:pPr>
      <w:r>
        <w:rPr>
          <w:rFonts w:ascii="Segoe UI" w:hAnsi="Segoe UI"/>
        </w:rPr>
        <w:t>"Revenues prices" - unit prices according to the type of commodity</w:t>
      </w:r>
    </w:p>
    <w:p w14:paraId="53BB6AE5" w14:textId="195FF88D" w:rsidR="00275C42" w:rsidRPr="00F0700F" w:rsidRDefault="00275C42" w:rsidP="00127CAA">
      <w:pPr>
        <w:rPr>
          <w:rFonts w:ascii="Segoe UI" w:eastAsiaTheme="minorEastAsia" w:hAnsi="Segoe UI" w:cs="Segoe UI"/>
        </w:rPr>
      </w:pPr>
      <w:r>
        <w:rPr>
          <w:rFonts w:ascii="Segoe UI" w:hAnsi="Segoe UI"/>
        </w:rPr>
        <w:t>„</w:t>
      </w:r>
      <w:proofErr w:type="gramStart"/>
      <w:r>
        <w:rPr>
          <w:rFonts w:ascii="Segoe UI" w:hAnsi="Segoe UI"/>
        </w:rPr>
        <w:t>OPEX“ –</w:t>
      </w:r>
      <w:proofErr w:type="gramEnd"/>
      <w:r>
        <w:rPr>
          <w:rFonts w:ascii="Segoe UI" w:hAnsi="Segoe UI"/>
        </w:rPr>
        <w:t xml:space="preserve"> operating expenses</w:t>
      </w:r>
    </w:p>
    <w:p w14:paraId="5800AC94" w14:textId="074ACD78" w:rsidR="00F8232B" w:rsidRDefault="00275C42" w:rsidP="00127CAA">
      <w:pPr>
        <w:rPr>
          <w:rFonts w:ascii="Segoe UI" w:eastAsiaTheme="minorEastAsia" w:hAnsi="Segoe UI" w:cs="Segoe UI"/>
        </w:rPr>
      </w:pPr>
      <w:r>
        <w:rPr>
          <w:rFonts w:ascii="Segoe UI" w:hAnsi="Segoe UI"/>
        </w:rPr>
        <w:t xml:space="preserve">"OPEX unit prices" - unit prices according to the type of operating expenses </w:t>
      </w:r>
    </w:p>
    <w:p w14:paraId="5EAA065B" w14:textId="6DD43929" w:rsidR="000020FC" w:rsidRDefault="000020FC" w:rsidP="00127CAA">
      <w:pPr>
        <w:rPr>
          <w:rFonts w:ascii="Segoe UI" w:eastAsiaTheme="minorEastAsia" w:hAnsi="Segoe UI" w:cs="Segoe UI"/>
        </w:rPr>
      </w:pPr>
      <w:r>
        <w:rPr>
          <w:rFonts w:ascii="Segoe UI" w:hAnsi="Segoe UI"/>
        </w:rPr>
        <w:t xml:space="preserve">"Externalities" – determined production of selected emissions </w:t>
      </w:r>
    </w:p>
    <w:p w14:paraId="41C7E93F" w14:textId="622EF15A" w:rsidR="004B228B" w:rsidRPr="00F0700F" w:rsidRDefault="004B228B" w:rsidP="00127CAA">
      <w:pPr>
        <w:rPr>
          <w:rFonts w:ascii="Segoe UI" w:eastAsiaTheme="minorEastAsia" w:hAnsi="Segoe UI" w:cs="Segoe UI"/>
        </w:rPr>
      </w:pPr>
      <w:r>
        <w:rPr>
          <w:rFonts w:ascii="Segoe UI" w:hAnsi="Segoe UI"/>
        </w:rPr>
        <w:t xml:space="preserve">"Externality unit prices" – unit prices of selected emissions </w:t>
      </w:r>
    </w:p>
    <w:p w14:paraId="2CE99E5B" w14:textId="4E915034" w:rsidR="00F8232B" w:rsidRPr="00F0700F" w:rsidRDefault="00F8232B" w:rsidP="00127CAA">
      <w:pPr>
        <w:rPr>
          <w:rFonts w:ascii="Segoe UI" w:eastAsiaTheme="minorEastAsia" w:hAnsi="Segoe UI" w:cs="Segoe UI"/>
        </w:rPr>
      </w:pPr>
      <w:r>
        <w:rPr>
          <w:rFonts w:ascii="Segoe UI" w:hAnsi="Segoe UI"/>
        </w:rPr>
        <w:t>"WACC" - discount rate set by the contracting authority for evaluation purposes</w:t>
      </w:r>
    </w:p>
    <w:p w14:paraId="196CD4D0" w14:textId="64B89EA4" w:rsidR="00275C42" w:rsidRPr="00F0700F" w:rsidRDefault="00F8232B" w:rsidP="00127CAA">
      <w:pPr>
        <w:rPr>
          <w:rFonts w:ascii="Segoe UI" w:eastAsiaTheme="minorEastAsia" w:hAnsi="Segoe UI" w:cs="Segoe UI"/>
        </w:rPr>
      </w:pPr>
      <w:r>
        <w:rPr>
          <w:rFonts w:ascii="Segoe UI" w:hAnsi="Segoe UI"/>
        </w:rPr>
        <w:t xml:space="preserve">"n" - period used for evaluation purposes (number of years) </w:t>
      </w:r>
    </w:p>
    <w:p w14:paraId="474E0671" w14:textId="67F19D37" w:rsidR="00764E51" w:rsidRPr="00B6605D" w:rsidRDefault="007A1FCE" w:rsidP="00B6605D">
      <w:pPr>
        <w:jc w:val="both"/>
        <w:rPr>
          <w:rFonts w:ascii="Segoe UI" w:hAnsi="Segoe UI" w:cs="Segoe UI"/>
        </w:rPr>
      </w:pPr>
      <w:r>
        <w:rPr>
          <w:rFonts w:ascii="Segoe UI" w:hAnsi="Segoe UI"/>
        </w:rPr>
        <w:t xml:space="preserve">An additional criterion that the contracting authority can use when deciding </w:t>
      </w:r>
      <w:r w:rsidR="00B370DA">
        <w:rPr>
          <w:rFonts w:ascii="Segoe UI" w:hAnsi="Segoe UI"/>
        </w:rPr>
        <w:t>on the</w:t>
      </w:r>
      <w:r>
        <w:rPr>
          <w:rFonts w:ascii="Segoe UI" w:hAnsi="Segoe UI"/>
        </w:rPr>
        <w:t xml:space="preserve"> next steps (choice between the OHB II and D2 options) following the submission of indicative tenders </w:t>
      </w:r>
      <w:r w:rsidR="00265913" w:rsidRPr="00B6605D">
        <w:rPr>
          <w:rStyle w:val="Znakapoznpodarou"/>
          <w:rFonts w:ascii="Segoe UI" w:hAnsi="Segoe UI" w:cs="Segoe UI"/>
          <w:lang w:val="cs-CZ"/>
        </w:rPr>
        <w:footnoteReference w:id="2"/>
      </w:r>
      <w:r>
        <w:rPr>
          <w:rFonts w:ascii="Segoe UI" w:hAnsi="Segoe UI"/>
        </w:rPr>
        <w:t xml:space="preserve"> can be the profitability </w:t>
      </w:r>
      <w:r w:rsidR="00B370DA">
        <w:rPr>
          <w:rFonts w:ascii="Segoe UI" w:hAnsi="Segoe UI"/>
        </w:rPr>
        <w:t>index with</w:t>
      </w:r>
      <w:r>
        <w:rPr>
          <w:rFonts w:ascii="Segoe UI" w:hAnsi="Segoe UI"/>
        </w:rPr>
        <w:t xml:space="preserve"> the computational formula based on the Economic model being the following:</w:t>
      </w:r>
    </w:p>
    <w:p w14:paraId="329A01A5" w14:textId="7DA55138" w:rsidR="00356438" w:rsidRPr="00B6605D" w:rsidRDefault="000634BD" w:rsidP="00127CAA">
      <w:pPr>
        <w:rPr>
          <w:rFonts w:ascii="Segoe UI" w:hAnsi="Segoe UI" w:cs="Segoe UI"/>
        </w:rPr>
      </w:pPr>
      <m:oMath>
        <m:r>
          <w:rPr>
            <w:rFonts w:ascii="Cambria Math" w:hAnsi="Cambria Math" w:cs="Segoe UI"/>
            <w:sz w:val="24"/>
            <w:szCs w:val="24"/>
            <w:lang w:val="cs-CZ"/>
          </w:rPr>
          <m:t>Index profitability=1+</m:t>
        </m:r>
        <m:f>
          <m:fPr>
            <m:ctrlPr>
              <w:rPr>
                <w:rFonts w:ascii="Cambria Math" w:hAnsi="Cambria Math" w:cs="Segoe UI"/>
                <w:i/>
                <w:sz w:val="24"/>
                <w:szCs w:val="24"/>
                <w:lang w:val="cs-CZ"/>
              </w:rPr>
            </m:ctrlPr>
          </m:fPr>
          <m:num>
            <m:r>
              <w:rPr>
                <w:rFonts w:ascii="Cambria Math" w:hAnsi="Cambria Math" w:cs="Segoe UI"/>
                <w:sz w:val="24"/>
                <w:szCs w:val="24"/>
                <w:lang w:val="cs-CZ"/>
              </w:rPr>
              <m:t>NPV</m:t>
            </m:r>
          </m:num>
          <m:den>
            <m:r>
              <w:rPr>
                <w:rFonts w:ascii="Cambria Math" w:hAnsi="Cambria Math" w:cs="Segoe UI"/>
                <w:sz w:val="24"/>
                <w:szCs w:val="24"/>
                <w:lang w:val="cs-CZ"/>
              </w:rPr>
              <m:t>CAPEX</m:t>
            </m:r>
          </m:den>
        </m:f>
      </m:oMath>
      <w:r>
        <w:rPr>
          <w:rFonts w:ascii="Segoe UI" w:hAnsi="Segoe UI"/>
        </w:rPr>
        <w:t xml:space="preserve">  </w:t>
      </w:r>
    </w:p>
    <w:sectPr w:rsidR="00356438" w:rsidRPr="00B6605D" w:rsidSect="007B5FA7">
      <w:headerReference w:type="default" r:id="rId8"/>
      <w:footerReference w:type="default" r:id="rId9"/>
      <w:head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0DB48D" w14:textId="77777777" w:rsidR="00833415" w:rsidRDefault="00833415" w:rsidP="00AD1347">
      <w:pPr>
        <w:spacing w:after="0" w:line="240" w:lineRule="auto"/>
      </w:pPr>
      <w:r>
        <w:separator/>
      </w:r>
    </w:p>
  </w:endnote>
  <w:endnote w:type="continuationSeparator" w:id="0">
    <w:p w14:paraId="5C539F6A" w14:textId="77777777" w:rsidR="00833415" w:rsidRDefault="00833415" w:rsidP="00AD13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49637803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61AE7EBD" w14:textId="1DA0DECB" w:rsidR="004B17E4" w:rsidRDefault="004B17E4">
            <w:pPr>
              <w:pStyle w:val="Zpat"/>
              <w:jc w:val="center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701C047" w14:textId="77777777" w:rsidR="004B17E4" w:rsidRDefault="004B17E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94378A" w14:textId="77777777" w:rsidR="00833415" w:rsidRDefault="00833415" w:rsidP="00AD1347">
      <w:pPr>
        <w:spacing w:after="0" w:line="240" w:lineRule="auto"/>
      </w:pPr>
      <w:r>
        <w:separator/>
      </w:r>
    </w:p>
  </w:footnote>
  <w:footnote w:type="continuationSeparator" w:id="0">
    <w:p w14:paraId="512A5C2F" w14:textId="77777777" w:rsidR="00833415" w:rsidRDefault="00833415" w:rsidP="00AD1347">
      <w:pPr>
        <w:spacing w:after="0" w:line="240" w:lineRule="auto"/>
      </w:pPr>
      <w:r>
        <w:continuationSeparator/>
      </w:r>
    </w:p>
  </w:footnote>
  <w:footnote w:id="1">
    <w:p w14:paraId="0622DA20" w14:textId="484BC02B" w:rsidR="00534820" w:rsidRDefault="00534820" w:rsidP="00C02FF6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It applies to the final tenders only if the contracting authority decides on a technical solution corresponding to option D2 according </w:t>
      </w:r>
      <w:r w:rsidR="00AA5A58">
        <w:t>to Section</w:t>
      </w:r>
      <w:r>
        <w:t xml:space="preserve"> 3.1 (b) of the procurement documentation.</w:t>
      </w:r>
    </w:p>
  </w:footnote>
  <w:footnote w:id="2">
    <w:p w14:paraId="3149E430" w14:textId="4D1DF087" w:rsidR="00265913" w:rsidRPr="00B6605D" w:rsidRDefault="00265913">
      <w:pPr>
        <w:pStyle w:val="Textpoznpodarou"/>
        <w:rPr>
          <w:rFonts w:ascii="Segoe UI" w:hAnsi="Segoe UI" w:cs="Segoe UI"/>
        </w:rPr>
      </w:pPr>
      <w:r>
        <w:rPr>
          <w:rStyle w:val="Znakapoznpodarou"/>
          <w:rFonts w:ascii="Segoe UI" w:hAnsi="Segoe UI" w:cs="Segoe UI"/>
        </w:rPr>
        <w:footnoteRef/>
      </w:r>
      <w:r>
        <w:rPr>
          <w:rFonts w:ascii="Segoe UI" w:hAnsi="Segoe UI"/>
        </w:rPr>
        <w:t xml:space="preserve">This additional criterion will not be used for the evaluation of final </w:t>
      </w:r>
      <w:r w:rsidR="00AA5A58">
        <w:rPr>
          <w:rFonts w:ascii="Segoe UI" w:hAnsi="Segoe UI"/>
        </w:rPr>
        <w:t>tenders which</w:t>
      </w:r>
      <w:r>
        <w:rPr>
          <w:rFonts w:ascii="Segoe UI" w:hAnsi="Segoe UI"/>
        </w:rPr>
        <w:t xml:space="preserve"> will only be submitted for one technical solution.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D1E2FD" w14:textId="77777777" w:rsidR="008C7DC1" w:rsidRPr="007F4DE4" w:rsidRDefault="008C7DC1" w:rsidP="008C7DC1">
    <w:pPr>
      <w:pStyle w:val="Zhlav"/>
      <w:rPr>
        <w:rFonts w:ascii="Segoe UI" w:hAnsi="Segoe UI" w:cs="Segoe UI"/>
        <w:b/>
        <w:bCs/>
        <w:sz w:val="24"/>
        <w:szCs w:val="24"/>
      </w:rPr>
    </w:pPr>
    <w:r>
      <w:rPr>
        <w:rFonts w:ascii="Segoe UI" w:hAnsi="Segoe UI"/>
        <w:b/>
        <w:bCs/>
        <w:sz w:val="24"/>
        <w:szCs w:val="24"/>
      </w:rPr>
      <w:t xml:space="preserve">Part 0 - Procurement documentation </w:t>
    </w:r>
  </w:p>
  <w:p w14:paraId="42E8F671" w14:textId="77777777" w:rsidR="008C7DC1" w:rsidRDefault="008C7DC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614799" w14:textId="77777777" w:rsidR="008C7DC1" w:rsidRPr="007F4DE4" w:rsidRDefault="008C7DC1" w:rsidP="008C7DC1">
    <w:pPr>
      <w:pStyle w:val="Zhlav"/>
      <w:rPr>
        <w:rFonts w:ascii="Segoe UI" w:hAnsi="Segoe UI" w:cs="Segoe UI"/>
        <w:b/>
        <w:bCs/>
        <w:sz w:val="24"/>
        <w:szCs w:val="24"/>
      </w:rPr>
    </w:pPr>
    <w:r>
      <w:rPr>
        <w:rFonts w:ascii="Segoe UI" w:hAnsi="Segoe UI"/>
        <w:b/>
        <w:bCs/>
        <w:sz w:val="24"/>
        <w:szCs w:val="24"/>
      </w:rPr>
      <w:t xml:space="preserve">Part 0 - Procurement documentation </w:t>
    </w:r>
  </w:p>
  <w:p w14:paraId="66F67D21" w14:textId="77777777" w:rsidR="008C7DC1" w:rsidRDefault="008C7DC1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7CAA"/>
    <w:rsid w:val="000020FC"/>
    <w:rsid w:val="00004AEA"/>
    <w:rsid w:val="000377C1"/>
    <w:rsid w:val="00047AC3"/>
    <w:rsid w:val="0005658B"/>
    <w:rsid w:val="000634BD"/>
    <w:rsid w:val="0008737D"/>
    <w:rsid w:val="000B3EAC"/>
    <w:rsid w:val="000D5480"/>
    <w:rsid w:val="000F0A50"/>
    <w:rsid w:val="000F0CBE"/>
    <w:rsid w:val="000F1EC5"/>
    <w:rsid w:val="00127CAA"/>
    <w:rsid w:val="00142CF9"/>
    <w:rsid w:val="00170F2E"/>
    <w:rsid w:val="00175750"/>
    <w:rsid w:val="00175A98"/>
    <w:rsid w:val="0018510C"/>
    <w:rsid w:val="00195421"/>
    <w:rsid w:val="001A4F82"/>
    <w:rsid w:val="001A5411"/>
    <w:rsid w:val="001B0D2D"/>
    <w:rsid w:val="001C1CBA"/>
    <w:rsid w:val="001C75A0"/>
    <w:rsid w:val="00211CD5"/>
    <w:rsid w:val="00217806"/>
    <w:rsid w:val="00265913"/>
    <w:rsid w:val="00275C42"/>
    <w:rsid w:val="00285DAB"/>
    <w:rsid w:val="002923F7"/>
    <w:rsid w:val="002A62DB"/>
    <w:rsid w:val="002D1FEC"/>
    <w:rsid w:val="002D5132"/>
    <w:rsid w:val="002E3A2D"/>
    <w:rsid w:val="00336DA9"/>
    <w:rsid w:val="003517D5"/>
    <w:rsid w:val="00353A32"/>
    <w:rsid w:val="00356438"/>
    <w:rsid w:val="003C2015"/>
    <w:rsid w:val="00411C33"/>
    <w:rsid w:val="00416015"/>
    <w:rsid w:val="00435BF9"/>
    <w:rsid w:val="00435DEA"/>
    <w:rsid w:val="00471236"/>
    <w:rsid w:val="004B17E4"/>
    <w:rsid w:val="004B228B"/>
    <w:rsid w:val="004B5566"/>
    <w:rsid w:val="004E299D"/>
    <w:rsid w:val="0052612E"/>
    <w:rsid w:val="00534820"/>
    <w:rsid w:val="005645BE"/>
    <w:rsid w:val="00574172"/>
    <w:rsid w:val="005B00B6"/>
    <w:rsid w:val="005C7FE0"/>
    <w:rsid w:val="005D2B3E"/>
    <w:rsid w:val="005E2747"/>
    <w:rsid w:val="00621C85"/>
    <w:rsid w:val="00622254"/>
    <w:rsid w:val="006752A9"/>
    <w:rsid w:val="006772AF"/>
    <w:rsid w:val="00695196"/>
    <w:rsid w:val="006C66D0"/>
    <w:rsid w:val="006F1DEF"/>
    <w:rsid w:val="006F6EA4"/>
    <w:rsid w:val="007048AF"/>
    <w:rsid w:val="00764E51"/>
    <w:rsid w:val="007669BF"/>
    <w:rsid w:val="007844C8"/>
    <w:rsid w:val="007868D4"/>
    <w:rsid w:val="007A1FCE"/>
    <w:rsid w:val="007A6255"/>
    <w:rsid w:val="007B5FA7"/>
    <w:rsid w:val="007F3D57"/>
    <w:rsid w:val="00823A1C"/>
    <w:rsid w:val="00833415"/>
    <w:rsid w:val="00840677"/>
    <w:rsid w:val="00850EA8"/>
    <w:rsid w:val="00890D96"/>
    <w:rsid w:val="008A3DC8"/>
    <w:rsid w:val="008C1993"/>
    <w:rsid w:val="008C7DC1"/>
    <w:rsid w:val="0093279B"/>
    <w:rsid w:val="00937EF0"/>
    <w:rsid w:val="009509B2"/>
    <w:rsid w:val="0095757F"/>
    <w:rsid w:val="009769BB"/>
    <w:rsid w:val="009942AF"/>
    <w:rsid w:val="00A00E83"/>
    <w:rsid w:val="00A83190"/>
    <w:rsid w:val="00A94FB3"/>
    <w:rsid w:val="00AA5A58"/>
    <w:rsid w:val="00AD1347"/>
    <w:rsid w:val="00AE0147"/>
    <w:rsid w:val="00B07587"/>
    <w:rsid w:val="00B370DA"/>
    <w:rsid w:val="00B525D5"/>
    <w:rsid w:val="00B6605D"/>
    <w:rsid w:val="00B879C3"/>
    <w:rsid w:val="00BA2C1F"/>
    <w:rsid w:val="00BA4382"/>
    <w:rsid w:val="00BC3781"/>
    <w:rsid w:val="00BE0EAA"/>
    <w:rsid w:val="00BF255E"/>
    <w:rsid w:val="00BF36F1"/>
    <w:rsid w:val="00C02FF6"/>
    <w:rsid w:val="00C54D1B"/>
    <w:rsid w:val="00C93414"/>
    <w:rsid w:val="00CA462D"/>
    <w:rsid w:val="00CD6BD7"/>
    <w:rsid w:val="00CE047A"/>
    <w:rsid w:val="00CE5982"/>
    <w:rsid w:val="00CF25BA"/>
    <w:rsid w:val="00D026FB"/>
    <w:rsid w:val="00D8213D"/>
    <w:rsid w:val="00D92CC2"/>
    <w:rsid w:val="00DC1469"/>
    <w:rsid w:val="00DC5147"/>
    <w:rsid w:val="00DC6210"/>
    <w:rsid w:val="00DD5E03"/>
    <w:rsid w:val="00DD6511"/>
    <w:rsid w:val="00DE10F9"/>
    <w:rsid w:val="00DE20A6"/>
    <w:rsid w:val="00E140F8"/>
    <w:rsid w:val="00E166A5"/>
    <w:rsid w:val="00E258DD"/>
    <w:rsid w:val="00E5139E"/>
    <w:rsid w:val="00E5730A"/>
    <w:rsid w:val="00E75555"/>
    <w:rsid w:val="00E82CC2"/>
    <w:rsid w:val="00EB7258"/>
    <w:rsid w:val="00EC4A80"/>
    <w:rsid w:val="00ED0239"/>
    <w:rsid w:val="00ED4DAF"/>
    <w:rsid w:val="00EE7D55"/>
    <w:rsid w:val="00EF3BD4"/>
    <w:rsid w:val="00EF7210"/>
    <w:rsid w:val="00F0700F"/>
    <w:rsid w:val="00F150F5"/>
    <w:rsid w:val="00F16437"/>
    <w:rsid w:val="00F26EF0"/>
    <w:rsid w:val="00F45406"/>
    <w:rsid w:val="00F63890"/>
    <w:rsid w:val="00F73EDA"/>
    <w:rsid w:val="00F8232B"/>
    <w:rsid w:val="00F82E98"/>
    <w:rsid w:val="00FB3A73"/>
    <w:rsid w:val="00FB3DC8"/>
    <w:rsid w:val="00FE04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BABE03"/>
  <w15:chartTrackingRefBased/>
  <w15:docId w15:val="{B62BD2EA-F369-4D25-9373-20D73E3A5E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27CAA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D51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D5132"/>
    <w:rPr>
      <w:rFonts w:ascii="Segoe UI" w:hAnsi="Segoe UI" w:cs="Segoe UI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B525D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B525D5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525D5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525D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525D5"/>
    <w:rPr>
      <w:b/>
      <w:bCs/>
      <w:sz w:val="20"/>
      <w:szCs w:val="20"/>
    </w:rPr>
  </w:style>
  <w:style w:type="paragraph" w:styleId="Textpoznpodarou">
    <w:name w:val="footnote text"/>
    <w:basedOn w:val="Normln"/>
    <w:link w:val="TextpoznpodarouChar"/>
    <w:unhideWhenUsed/>
    <w:rsid w:val="00AD1347"/>
    <w:pPr>
      <w:spacing w:after="0" w:line="240" w:lineRule="auto"/>
    </w:pPr>
    <w:rPr>
      <w:rFonts w:ascii="Calibri" w:eastAsia="Times New Roman" w:hAnsi="Calibri" w:cs="Times New Roman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AD1347"/>
    <w:rPr>
      <w:rFonts w:ascii="Calibri" w:eastAsia="Times New Roman" w:hAnsi="Calibri" w:cs="Times New Roman"/>
      <w:lang w:val="en-GB" w:eastAsia="cs-CZ"/>
    </w:rPr>
  </w:style>
  <w:style w:type="character" w:styleId="Znakapoznpodarou">
    <w:name w:val="footnote reference"/>
    <w:uiPriority w:val="99"/>
    <w:unhideWhenUsed/>
    <w:rsid w:val="00AD1347"/>
    <w:rPr>
      <w:vertAlign w:val="superscript"/>
    </w:rPr>
  </w:style>
  <w:style w:type="paragraph" w:styleId="Zhlav">
    <w:name w:val="header"/>
    <w:aliases w:val="záhlaví"/>
    <w:basedOn w:val="Normln"/>
    <w:link w:val="ZhlavChar"/>
    <w:uiPriority w:val="99"/>
    <w:unhideWhenUsed/>
    <w:rsid w:val="004B17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"/>
    <w:basedOn w:val="Standardnpsmoodstavce"/>
    <w:link w:val="Zhlav"/>
    <w:uiPriority w:val="99"/>
    <w:rsid w:val="004B17E4"/>
  </w:style>
  <w:style w:type="paragraph" w:styleId="Zpat">
    <w:name w:val="footer"/>
    <w:basedOn w:val="Normln"/>
    <w:link w:val="ZpatChar"/>
    <w:uiPriority w:val="99"/>
    <w:unhideWhenUsed/>
    <w:rsid w:val="004B17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B17E4"/>
  </w:style>
  <w:style w:type="paragraph" w:styleId="Revize">
    <w:name w:val="Revision"/>
    <w:hidden/>
    <w:uiPriority w:val="99"/>
    <w:semiHidden/>
    <w:rsid w:val="00DE20A6"/>
    <w:pPr>
      <w:spacing w:after="0" w:line="240" w:lineRule="auto"/>
    </w:pPr>
  </w:style>
  <w:style w:type="paragraph" w:styleId="Zkladntext">
    <w:name w:val="Body Text"/>
    <w:aliases w:val="subtitle2,Základní tZákladní text,Body Text"/>
    <w:basedOn w:val="Normln"/>
    <w:link w:val="ZkladntextChar"/>
    <w:rsid w:val="007B5FA7"/>
    <w:pPr>
      <w:spacing w:after="0" w:line="240" w:lineRule="auto"/>
      <w:jc w:val="both"/>
    </w:pPr>
    <w:rPr>
      <w:rFonts w:ascii="Calibri" w:eastAsia="Times New Roman" w:hAnsi="Calibri" w:cs="Times New Roman"/>
      <w:sz w:val="24"/>
      <w:lang w:eastAsia="cs-CZ"/>
    </w:rPr>
  </w:style>
  <w:style w:type="character" w:customStyle="1" w:styleId="ZkladntextChar">
    <w:name w:val="Základní text Char"/>
    <w:aliases w:val="subtitle2 Char,Základní tZákladní text Char,Body Text Char"/>
    <w:basedOn w:val="Standardnpsmoodstavce"/>
    <w:link w:val="Zkladntext"/>
    <w:rsid w:val="007B5FA7"/>
    <w:rPr>
      <w:rFonts w:ascii="Calibri" w:eastAsia="Times New Roman" w:hAnsi="Calibri" w:cs="Times New Roman"/>
      <w:sz w:val="24"/>
      <w:lang w:val="en-GB" w:eastAsia="cs-CZ"/>
    </w:rPr>
  </w:style>
  <w:style w:type="paragraph" w:styleId="Obsah1">
    <w:name w:val="toc 1"/>
    <w:basedOn w:val="Normln"/>
    <w:next w:val="Normln"/>
    <w:autoRedefine/>
    <w:uiPriority w:val="39"/>
    <w:rsid w:val="007B5FA7"/>
    <w:pPr>
      <w:tabs>
        <w:tab w:val="left" w:pos="426"/>
        <w:tab w:val="right" w:leader="dot" w:pos="9060"/>
      </w:tabs>
      <w:spacing w:after="0" w:line="240" w:lineRule="auto"/>
    </w:pPr>
    <w:rPr>
      <w:rFonts w:ascii="Segoe UI" w:eastAsia="Times New Roman" w:hAnsi="Segoe UI" w:cs="Segoe UI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71C6C2-CA59-463B-9FDE-6664D14144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564</Words>
  <Characters>3331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Mužila</dc:creator>
  <cp:keywords/>
  <dc:description/>
  <cp:lastModifiedBy>Pavel</cp:lastModifiedBy>
  <cp:revision>10</cp:revision>
  <cp:lastPrinted>2024-06-26T17:21:00Z</cp:lastPrinted>
  <dcterms:created xsi:type="dcterms:W3CDTF">2024-06-12T12:19:00Z</dcterms:created>
  <dcterms:modified xsi:type="dcterms:W3CDTF">2024-06-26T18:26:00Z</dcterms:modified>
</cp:coreProperties>
</file>